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3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20"/>
          <w:sz w:val="32"/>
          <w:szCs w:val="32"/>
        </w:rPr>
        <w:t>附</w:t>
      </w:r>
      <w:r>
        <w:rPr>
          <w:rFonts w:ascii="黑体" w:hAnsi="黑体" w:eastAsia="黑体" w:cs="黑体"/>
          <w:spacing w:val="-18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1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line="240" w:lineRule="auto"/>
        <w:ind w:left="493" w:right="522" w:firstLine="0"/>
        <w:jc w:val="center"/>
        <w:textAlignment w:val="auto"/>
        <w:rPr>
          <w:rFonts w:hint="eastAsia" w:ascii="黑体" w:hAnsi="黑体" w:eastAsia="黑体" w:cs="黑体"/>
          <w:snapToGrid/>
          <w:spacing w:val="11"/>
          <w:kern w:val="2"/>
          <w:sz w:val="43"/>
          <w:szCs w:val="43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spacing w:val="11"/>
          <w:kern w:val="2"/>
          <w:sz w:val="43"/>
          <w:szCs w:val="43"/>
          <w:lang w:val="en-US" w:eastAsia="zh-CN" w:bidi="ar-SA"/>
        </w:rPr>
        <w:t>2023年河南省职业院校教师企业实践项目计划分配表(高职)</w:t>
      </w:r>
    </w:p>
    <w:p>
      <w:pPr>
        <w:spacing w:line="177" w:lineRule="exact"/>
      </w:pPr>
    </w:p>
    <w:tbl>
      <w:tblPr>
        <w:tblStyle w:val="4"/>
        <w:tblW w:w="9695" w:type="dxa"/>
        <w:tblInd w:w="-2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0"/>
        <w:gridCol w:w="1943"/>
        <w:gridCol w:w="2283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4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8"/>
                <w:sz w:val="28"/>
                <w:szCs w:val="28"/>
              </w:rPr>
              <w:t>实</w:t>
            </w:r>
            <w:r>
              <w:rPr>
                <w:rFonts w:hint="eastAsia" w:ascii="黑体" w:hAnsi="黑体" w:eastAsia="黑体" w:cs="黑体"/>
                <w:spacing w:val="6"/>
                <w:sz w:val="28"/>
                <w:szCs w:val="28"/>
              </w:rPr>
              <w:t>践基地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9"/>
                <w:sz w:val="28"/>
                <w:szCs w:val="28"/>
              </w:rPr>
              <w:t>培</w:t>
            </w:r>
            <w:r>
              <w:rPr>
                <w:rFonts w:hint="eastAsia" w:ascii="黑体" w:hAnsi="黑体" w:eastAsia="黑体" w:cs="黑体"/>
                <w:spacing w:val="8"/>
                <w:sz w:val="28"/>
                <w:szCs w:val="28"/>
              </w:rPr>
              <w:t>训时间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8"/>
                <w:sz w:val="28"/>
                <w:szCs w:val="28"/>
              </w:rPr>
              <w:t>实</w:t>
            </w:r>
            <w:r>
              <w:rPr>
                <w:rFonts w:hint="eastAsia" w:ascii="黑体" w:hAnsi="黑体" w:eastAsia="黑体" w:cs="黑体"/>
                <w:spacing w:val="6"/>
                <w:sz w:val="28"/>
                <w:szCs w:val="28"/>
              </w:rPr>
              <w:t>践专业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8"/>
                <w:sz w:val="28"/>
                <w:szCs w:val="28"/>
              </w:rPr>
              <w:t>计</w:t>
            </w:r>
            <w:r>
              <w:rPr>
                <w:rFonts w:hint="eastAsia" w:ascii="黑体" w:hAnsi="黑体" w:eastAsia="黑体" w:cs="黑体"/>
                <w:spacing w:val="7"/>
                <w:sz w:val="28"/>
                <w:szCs w:val="28"/>
              </w:rPr>
              <w:t>划人数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州超凡装饰设计工程有限公司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6.1-6.3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0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筑室内设计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河南大匠烘焙教育科技有限公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司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31-6.29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中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西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面点工艺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河南省农业高新科技园有限公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司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6.1-6.3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0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畜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牧兽医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2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设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施农业与装备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园艺技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郑州宇通客车股份有限公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司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19-7.18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新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能源汽车技术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3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智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能网联汽车技术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洛阳牡丹通讯股份有限公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司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6.1-6.3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0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应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用电子技术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机电一体化技术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3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数控技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州鑫诺商贸有限公司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15-7.14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汽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车检测与维修技术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6" w:hRule="atLeast"/>
        </w:trPr>
        <w:tc>
          <w:tcPr>
            <w:tcW w:w="403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新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能源汽车技术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3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中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国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建筑第七工程局有限公司</w:t>
            </w:r>
          </w:p>
        </w:tc>
        <w:tc>
          <w:tcPr>
            <w:tcW w:w="194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29-6.27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设工程管理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筑工程技术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2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2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合计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NTZkYjkyYTEwNzA0ZjBlYzE2Njg2ZDhmNTQ0NjEifQ=="/>
  </w:docVars>
  <w:rsids>
    <w:rsidRoot w:val="2C007AD8"/>
    <w:rsid w:val="2C0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316</Characters>
  <Lines>0</Lines>
  <Paragraphs>0</Paragraphs>
  <TotalTime>3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2023-05-17T00:33:00Z</dcterms:created>
  <dc:creator>图书馆708</dc:creator>
  <cp:lastModifiedBy>图书馆708</cp:lastModifiedBy>
  <dcterms:modified xsi:type="dcterms:W3CDTF">2023-05-17T00:43:51Z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D7A456F5313741F6AAA1222BA58353A1_11</vt:lpwstr>
  </property>
</Properties>
</file>